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B2ACE">
      <w:pPr>
        <w:jc w:val="center"/>
        <w:rPr>
          <w:rFonts w:ascii="方正小标宋简体" w:eastAsia="方正小标宋简体"/>
          <w:b/>
          <w:sz w:val="32"/>
          <w:szCs w:val="32"/>
        </w:rPr>
      </w:pPr>
      <w:r>
        <w:rPr>
          <w:rFonts w:hint="eastAsia" w:ascii="方正小标宋简体" w:eastAsia="方正小标宋简体"/>
          <w:b/>
          <w:sz w:val="32"/>
          <w:szCs w:val="32"/>
        </w:rPr>
        <w:t>生命与医药学院</w:t>
      </w:r>
    </w:p>
    <w:p w14:paraId="417B8043">
      <w:pPr>
        <w:jc w:val="center"/>
        <w:rPr>
          <w:rFonts w:ascii="方正小标宋简体" w:eastAsia="方正小标宋简体" w:hAnsiTheme="minorEastAsia"/>
          <w:b/>
          <w:sz w:val="32"/>
          <w:szCs w:val="32"/>
        </w:rPr>
      </w:pPr>
      <w:r>
        <w:rPr>
          <w:rFonts w:hint="eastAsia" w:ascii="方正小标宋简体" w:eastAsia="方正小标宋简体"/>
          <w:b/>
          <w:sz w:val="32"/>
          <w:szCs w:val="32"/>
        </w:rPr>
        <w:t>硕士研究生招生考试自命题</w:t>
      </w:r>
      <w:r>
        <w:rPr>
          <w:rFonts w:hint="eastAsia" w:ascii="方正小标宋简体" w:eastAsia="方正小标宋简体" w:hAnsiTheme="minorEastAsia"/>
          <w:b/>
          <w:sz w:val="32"/>
          <w:szCs w:val="32"/>
        </w:rPr>
        <w:t>考试大纲</w:t>
      </w:r>
    </w:p>
    <w:tbl>
      <w:tblPr>
        <w:tblStyle w:val="6"/>
        <w:tblW w:w="826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0"/>
      </w:tblGrid>
      <w:tr w14:paraId="1A90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9" w:hRule="atLeast"/>
        </w:trPr>
        <w:tc>
          <w:tcPr>
            <w:tcW w:w="8260" w:type="dxa"/>
          </w:tcPr>
          <w:p w14:paraId="3A74E047">
            <w:pPr>
              <w:rPr>
                <w:rFonts w:ascii="宋体" w:hAnsi="宋体"/>
                <w:b/>
                <w:sz w:val="24"/>
              </w:rPr>
            </w:pPr>
            <w:r>
              <w:rPr>
                <w:rFonts w:hint="eastAsia" w:ascii="宋体" w:hAnsi="宋体"/>
                <w:b/>
                <w:sz w:val="24"/>
              </w:rPr>
              <w:t>科目代码：</w:t>
            </w:r>
            <w:r>
              <w:rPr>
                <w:rFonts w:ascii="宋体" w:hAnsi="宋体"/>
                <w:b/>
                <w:sz w:val="24"/>
              </w:rPr>
              <w:t>61</w:t>
            </w:r>
            <w:r>
              <w:rPr>
                <w:rFonts w:hint="eastAsia" w:ascii="宋体" w:hAnsi="宋体"/>
                <w:b/>
                <w:sz w:val="24"/>
                <w:lang w:val="en-US" w:eastAsia="zh-CN"/>
              </w:rPr>
              <w:t>2</w:t>
            </w:r>
            <w:r>
              <w:rPr>
                <w:rFonts w:hint="eastAsia" w:ascii="宋体" w:hAnsi="宋体"/>
                <w:b/>
                <w:sz w:val="24"/>
              </w:rPr>
              <w:t xml:space="preserve">    科目名称：现代生物化学</w:t>
            </w:r>
          </w:p>
          <w:p w14:paraId="3610D115">
            <w:pPr>
              <w:rPr>
                <w:sz w:val="24"/>
              </w:rPr>
            </w:pPr>
            <w:r>
              <w:rPr>
                <w:rFonts w:hint="eastAsia"/>
                <w:b/>
                <w:sz w:val="24"/>
              </w:rPr>
              <w:t>考试范围：</w:t>
            </w:r>
          </w:p>
          <w:p w14:paraId="5F5A5EF1">
            <w:pPr>
              <w:pStyle w:val="3"/>
              <w:spacing w:line="360" w:lineRule="auto"/>
              <w:rPr>
                <w:rFonts w:hAnsi="宋体"/>
                <w:b/>
              </w:rPr>
            </w:pPr>
            <w:r>
              <w:rPr>
                <w:rFonts w:hint="eastAsia" w:hAnsi="宋体"/>
                <w:b/>
              </w:rPr>
              <w:t xml:space="preserve">一、课程内容简介 </w:t>
            </w:r>
          </w:p>
          <w:p w14:paraId="5EC881E6">
            <w:pPr>
              <w:spacing w:line="360" w:lineRule="auto"/>
              <w:ind w:firstLine="420"/>
              <w:rPr>
                <w:rFonts w:ascii="宋体" w:hAnsi="宋体" w:cs="Courier New"/>
                <w:szCs w:val="21"/>
              </w:rPr>
            </w:pPr>
            <w:r>
              <w:rPr>
                <w:rFonts w:hint="eastAsia" w:ascii="宋体" w:hAnsi="宋体" w:cs="Courier New"/>
                <w:szCs w:val="21"/>
              </w:rPr>
              <w:t>生物化学是</w:t>
            </w:r>
            <w:r>
              <w:rPr>
                <w:rFonts w:ascii="宋体" w:hAnsi="宋体" w:cs="Courier New"/>
                <w:szCs w:val="21"/>
              </w:rPr>
              <w:t>研究</w:t>
            </w:r>
            <w:r>
              <w:rPr>
                <w:rFonts w:hint="eastAsia" w:ascii="宋体" w:hAnsi="宋体" w:cs="Courier New"/>
                <w:szCs w:val="21"/>
              </w:rPr>
              <w:t>生物体的物质组成及其在生物体内的主要代谢过程和代谢规律，包括生物大分子的组成、结构、性质、功能及其合成和分解的代谢过程以及遗传信息储存、传递和表达的一般规律。</w:t>
            </w:r>
          </w:p>
          <w:p w14:paraId="6E9B83FC">
            <w:pPr>
              <w:pStyle w:val="3"/>
              <w:spacing w:line="360" w:lineRule="auto"/>
              <w:rPr>
                <w:rFonts w:hAnsi="宋体"/>
              </w:rPr>
            </w:pPr>
            <w:r>
              <w:rPr>
                <w:rFonts w:hint="eastAsia"/>
                <w:sz w:val="24"/>
              </w:rPr>
              <w:t>二、</w:t>
            </w:r>
            <w:r>
              <w:rPr>
                <w:rFonts w:hint="eastAsia" w:hAnsi="宋体"/>
                <w:b/>
              </w:rPr>
              <w:t>课程性质、目的和要求</w:t>
            </w:r>
          </w:p>
          <w:p w14:paraId="22638A9E">
            <w:pPr>
              <w:spacing w:line="360" w:lineRule="auto"/>
              <w:ind w:firstLine="420" w:firstLineChars="200"/>
              <w:rPr>
                <w:rFonts w:ascii="宋体" w:hAnsi="宋体" w:cs="Courier New"/>
                <w:szCs w:val="21"/>
              </w:rPr>
            </w:pPr>
            <w:r>
              <w:rPr>
                <w:rFonts w:hint="eastAsia" w:ascii="宋体" w:hAnsi="宋体" w:cs="Courier New"/>
                <w:szCs w:val="21"/>
              </w:rPr>
              <w:t>生物化学是生命科学学科体系中重要的专业基础课。课程目的是使学生掌握生物体的化学组成及其在生物体内的代谢过程及代谢规律。要求学生掌握生物大分子组成、结构、性质和分离纯化方法；掌握四类生物大分子代谢</w:t>
            </w:r>
            <w:r>
              <w:rPr>
                <w:rFonts w:hint="eastAsia" w:ascii="宋体" w:hAnsi="宋体" w:cs="Courier New"/>
                <w:szCs w:val="21"/>
                <w:lang w:val="en-US" w:eastAsia="zh-CN"/>
              </w:rPr>
              <w:t>的</w:t>
            </w:r>
            <w:r>
              <w:rPr>
                <w:rFonts w:hint="eastAsia" w:ascii="宋体" w:hAnsi="宋体" w:cs="Courier New"/>
                <w:szCs w:val="21"/>
              </w:rPr>
              <w:t>基本途径，掌握酶促反应动力学的基本内容和影响酶促反应的因素及规律；掌握遗传信息传递的基本过程；掌握生物化学基本实验技术及其原理；</w:t>
            </w:r>
            <w:r>
              <w:rPr>
                <w:rFonts w:hint="eastAsia" w:hAnsi="宋体"/>
              </w:rPr>
              <w:t>了解生物化学的最新研究进展。</w:t>
            </w:r>
          </w:p>
          <w:p w14:paraId="5857446A">
            <w:pPr>
              <w:spacing w:line="360" w:lineRule="auto"/>
              <w:rPr>
                <w:rFonts w:ascii="宋体" w:hAnsi="宋体" w:cs="Courier New"/>
                <w:b/>
                <w:szCs w:val="21"/>
              </w:rPr>
            </w:pPr>
            <w:r>
              <w:rPr>
                <w:rFonts w:hint="eastAsia" w:ascii="宋体" w:hAnsi="宋体" w:cs="Courier New"/>
                <w:b/>
                <w:szCs w:val="21"/>
              </w:rPr>
              <w:t>三、课程考试范围</w:t>
            </w:r>
          </w:p>
          <w:p w14:paraId="0C864675">
            <w:pPr>
              <w:pStyle w:val="3"/>
              <w:spacing w:line="360" w:lineRule="auto"/>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绪论 </w:t>
            </w:r>
            <w:r>
              <w:rPr>
                <w:rFonts w:hint="eastAsia" w:hAnsi="宋体" w:cs="宋体"/>
                <w:color w:val="000000" w:themeColor="text1"/>
                <w14:textFill>
                  <w14:solidFill>
                    <w14:schemeClr w14:val="tx1"/>
                  </w14:solidFill>
                </w14:textFill>
              </w:rPr>
              <w:t>生物化学概念及其研究内容、生物化学发展简史及标志性事件。</w:t>
            </w:r>
          </w:p>
          <w:p w14:paraId="6C8C3B7D">
            <w:pPr>
              <w:pStyle w:val="3"/>
              <w:spacing w:line="360" w:lineRule="auto"/>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2</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蛋白质化学</w:t>
            </w:r>
            <w:r>
              <w:rPr>
                <w:rFonts w:hint="eastAsia" w:hAnsi="宋体" w:cs="宋体"/>
                <w:color w:val="000000" w:themeColor="text1"/>
                <w14:textFill>
                  <w14:solidFill>
                    <w14:schemeClr w14:val="tx1"/>
                  </w14:solidFill>
                </w14:textFill>
              </w:rPr>
              <w:t xml:space="preserve"> </w:t>
            </w:r>
            <w:r>
              <w:rPr>
                <w:rFonts w:hAnsi="宋体" w:cs="宋体"/>
                <w:color w:val="000000" w:themeColor="text1"/>
                <w14:textFill>
                  <w14:solidFill>
                    <w14:schemeClr w14:val="tx1"/>
                  </w14:solidFill>
                </w14:textFill>
              </w:rPr>
              <w:t xml:space="preserve"> </w:t>
            </w:r>
            <w:r>
              <w:rPr>
                <w:rFonts w:hint="eastAsia" w:hAnsi="宋体" w:cs="宋体"/>
                <w:color w:val="000000" w:themeColor="text1"/>
                <w14:textFill>
                  <w14:solidFill>
                    <w14:schemeClr w14:val="tx1"/>
                  </w14:solidFill>
                </w14:textFill>
              </w:rPr>
              <w:t>氨基酸分类（分类标准及每种分类下各种氨基酸的归属）、结构和性质（物理性质、280nm最大吸收、酸碱性质、等电点定义及计算方法、化学性质、N端和C端共同参与反应）；蛋白质的一、二级结构，肽、肽键、肽平面、残基、结构域、超二级结构；二级结构主要形式（α螺旋与β折叠）的要点；蛋白质的理化性质（两性性质及等电点、胶体性质及稳定因素、变性与复性、沉淀、凝固、紫外吸收、呈色反应）。</w:t>
            </w:r>
          </w:p>
          <w:p w14:paraId="2FCA8BF8">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3</w:t>
            </w:r>
            <w:r>
              <w:rPr>
                <w:rFonts w:hAnsi="宋体" w:cs="宋体"/>
                <w:b/>
                <w:color w:val="000000" w:themeColor="text1"/>
                <w14:textFill>
                  <w14:solidFill>
                    <w14:schemeClr w14:val="tx1"/>
                  </w14:solidFill>
                </w14:textFill>
              </w:rPr>
              <w:t xml:space="preserve">. </w:t>
            </w:r>
            <w:r>
              <w:rPr>
                <w:rFonts w:hint="eastAsia" w:hAnsi="宋体" w:cs="宋体"/>
                <w:b/>
                <w:color w:val="000000" w:themeColor="text1"/>
                <w14:textFill>
                  <w14:solidFill>
                    <w14:schemeClr w14:val="tx1"/>
                  </w14:solidFill>
                </w14:textFill>
              </w:rPr>
              <w:t>核酸化学</w:t>
            </w:r>
            <w:r>
              <w:rPr>
                <w:rFonts w:hint="eastAsia" w:hAnsi="宋体" w:cs="宋体"/>
                <w:color w:val="000000" w:themeColor="text1"/>
                <w14:textFill>
                  <w14:solidFill>
                    <w14:schemeClr w14:val="tx1"/>
                  </w14:solidFill>
                </w14:textFill>
              </w:rPr>
              <w:t xml:space="preserve"> 核酸基本组成和结构（碱基种类、嘌呤和嘧啶的缩写、核苷成键的原子、核苷酸的连接方式）、DNA双螺旋结构模型的要点、RNA种类及作用、tRNA的二级结构特点及其各部分功能；核酸的一般性质、紫外吸收、核酸的变性与复性（Tm定义、增色效应与减色效应、影响Tm的因素）。</w:t>
            </w:r>
          </w:p>
          <w:p w14:paraId="082A3E13">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4</w:t>
            </w:r>
            <w:r>
              <w:rPr>
                <w:rFonts w:hAnsi="宋体" w:cs="宋体"/>
                <w:b/>
                <w:color w:val="000000" w:themeColor="text1"/>
                <w14:textFill>
                  <w14:solidFill>
                    <w14:schemeClr w14:val="tx1"/>
                  </w14:solidFill>
                </w14:textFill>
              </w:rPr>
              <w:t xml:space="preserve">. </w:t>
            </w:r>
            <w:r>
              <w:rPr>
                <w:rFonts w:hint="eastAsia" w:hAnsi="宋体" w:cs="宋体"/>
                <w:b/>
                <w:color w:val="000000" w:themeColor="text1"/>
                <w14:textFill>
                  <w14:solidFill>
                    <w14:schemeClr w14:val="tx1"/>
                  </w14:solidFill>
                </w14:textFill>
              </w:rPr>
              <w:t>维生素与辅酶</w:t>
            </w:r>
            <w:r>
              <w:rPr>
                <w:rFonts w:hint="eastAsia" w:hAnsi="宋体" w:cs="宋体"/>
                <w:color w:val="000000" w:themeColor="text1"/>
                <w14:textFill>
                  <w14:solidFill>
                    <w14:schemeClr w14:val="tx1"/>
                  </w14:solidFill>
                </w14:textFill>
              </w:rPr>
              <w:t xml:space="preserve"> </w:t>
            </w:r>
            <w:r>
              <w:rPr>
                <w:rFonts w:hAnsi="宋体" w:cs="宋体"/>
                <w:color w:val="000000" w:themeColor="text1"/>
                <w14:textFill>
                  <w14:solidFill>
                    <w14:schemeClr w14:val="tx1"/>
                  </w14:solidFill>
                </w14:textFill>
              </w:rPr>
              <w:t xml:space="preserve"> </w:t>
            </w:r>
            <w:r>
              <w:rPr>
                <w:rFonts w:hint="eastAsia" w:hAnsi="宋体" w:cs="宋体"/>
                <w:color w:val="000000" w:themeColor="text1"/>
                <w14:textFill>
                  <w14:solidFill>
                    <w14:schemeClr w14:val="tx1"/>
                  </w14:solidFill>
                </w14:textFill>
              </w:rPr>
              <w:t>维生素B族、维生素C等水溶性维生素的名称、功能、活性形式及其催化的反应；脂溶性维生素的生理功能及其主要活性形式；维生素的缺乏症。</w:t>
            </w:r>
          </w:p>
          <w:p w14:paraId="5A0453B8">
            <w:pPr>
              <w:spacing w:line="360" w:lineRule="auto"/>
              <w:rPr>
                <w:szCs w:val="21"/>
              </w:rPr>
            </w:pPr>
            <w:r>
              <w:rPr>
                <w:rFonts w:hint="eastAsia" w:hAnsi="宋体" w:cs="宋体"/>
                <w:b/>
                <w:color w:val="000000" w:themeColor="text1"/>
                <w14:textFill>
                  <w14:solidFill>
                    <w14:schemeClr w14:val="tx1"/>
                  </w14:solidFill>
                </w14:textFill>
              </w:rPr>
              <w:t>5</w:t>
            </w:r>
            <w:r>
              <w:rPr>
                <w:rFonts w:hAnsi="宋体" w:cs="宋体"/>
                <w:b/>
                <w:color w:val="000000" w:themeColor="text1"/>
                <w14:textFill>
                  <w14:solidFill>
                    <w14:schemeClr w14:val="tx1"/>
                  </w14:solidFill>
                </w14:textFill>
              </w:rPr>
              <w:t xml:space="preserve">. </w:t>
            </w:r>
            <w:r>
              <w:rPr>
                <w:rFonts w:hint="eastAsia" w:hAnsi="宋体" w:cs="宋体"/>
                <w:b/>
                <w:color w:val="000000" w:themeColor="text1"/>
                <w14:textFill>
                  <w14:solidFill>
                    <w14:schemeClr w14:val="tx1"/>
                  </w14:solidFill>
                </w14:textFill>
              </w:rPr>
              <w:t xml:space="preserve">酶化学 </w:t>
            </w:r>
            <w:r>
              <w:rPr>
                <w:rFonts w:hAnsi="宋体" w:cs="宋体"/>
                <w:b/>
                <w:color w:val="000000" w:themeColor="text1"/>
                <w14:textFill>
                  <w14:solidFill>
                    <w14:schemeClr w14:val="tx1"/>
                  </w14:solidFill>
                </w14:textFill>
              </w:rPr>
              <w:t xml:space="preserve"> </w:t>
            </w:r>
            <w:r>
              <w:rPr>
                <w:rFonts w:hint="eastAsia"/>
                <w:szCs w:val="21"/>
              </w:rPr>
              <w:t>酶的概念、作用特点及机制、分类与命名、结构特征；酶促反应动力学的基本内容，米氏常数的意义</w:t>
            </w:r>
            <w:r>
              <w:rPr>
                <w:rFonts w:hint="eastAsia" w:hAnsi="宋体" w:cs="宋体"/>
                <w:color w:val="000000" w:themeColor="text1"/>
                <w14:textFill>
                  <w14:solidFill>
                    <w14:schemeClr w14:val="tx1"/>
                  </w14:solidFill>
                </w14:textFill>
              </w:rPr>
              <w:t>及有关计算</w:t>
            </w:r>
            <w:r>
              <w:rPr>
                <w:rFonts w:hint="eastAsia"/>
                <w:szCs w:val="21"/>
              </w:rPr>
              <w:t>；可逆性抑制的类型及酶促反应动力学参数(主要是Vmax 及Km)的变化情况。重要的酶类，如变构酶、共价修饰调节酶、酶原和同工酶。</w:t>
            </w:r>
          </w:p>
          <w:p w14:paraId="13F3F702">
            <w:pPr>
              <w:pStyle w:val="3"/>
              <w:spacing w:line="360" w:lineRule="auto"/>
              <w:jc w:val="left"/>
            </w:pPr>
            <w:r>
              <w:rPr>
                <w:rFonts w:hint="eastAsia" w:hAnsi="宋体" w:cs="宋体"/>
                <w:b/>
                <w:color w:val="000000" w:themeColor="text1"/>
                <w14:textFill>
                  <w14:solidFill>
                    <w14:schemeClr w14:val="tx1"/>
                  </w14:solidFill>
                </w14:textFill>
              </w:rPr>
              <w:t>6</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 生物氧化</w:t>
            </w:r>
            <w:r>
              <w:rPr>
                <w:rFonts w:hint="eastAsia" w:hAnsi="宋体" w:cs="宋体"/>
                <w:color w:val="000000" w:themeColor="text1"/>
                <w14:textFill>
                  <w14:solidFill>
                    <w14:schemeClr w14:val="tx1"/>
                  </w14:solidFill>
                </w14:textFill>
              </w:rPr>
              <w:t xml:space="preserve"> 呼吸链的</w:t>
            </w:r>
            <w:r>
              <w:rPr>
                <w:rFonts w:hint="eastAsia"/>
              </w:rPr>
              <w:t>概念、种类、组成、顺序及传递氢和电子的机制；</w:t>
            </w:r>
            <w:r>
              <w:rPr>
                <w:rFonts w:hint="eastAsia" w:hAnsi="宋体" w:cs="宋体"/>
                <w:color w:val="000000" w:themeColor="text1"/>
                <w14:textFill>
                  <w14:solidFill>
                    <w14:schemeClr w14:val="tx1"/>
                  </w14:solidFill>
                </w14:textFill>
              </w:rPr>
              <w:t>四种复合体的名称及作用；产能数值及其计算；</w:t>
            </w:r>
            <w:r>
              <w:rPr>
                <w:rFonts w:hint="eastAsia"/>
              </w:rPr>
              <w:t>氧化磷酸化的概念、种类、作用机制及抑制剂；ATP在能量代谢中的作用；胞液中NADH进入线粒体的穿梭机制。</w:t>
            </w:r>
          </w:p>
          <w:p w14:paraId="3D39E0E1">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7</w:t>
            </w:r>
            <w:r>
              <w:rPr>
                <w:rFonts w:hAnsi="宋体" w:cs="宋体"/>
                <w:b/>
                <w:color w:val="000000" w:themeColor="text1"/>
                <w14:textFill>
                  <w14:solidFill>
                    <w14:schemeClr w14:val="tx1"/>
                  </w14:solidFill>
                </w14:textFill>
              </w:rPr>
              <w:t>. 糖及</w:t>
            </w:r>
            <w:r>
              <w:rPr>
                <w:rFonts w:hint="eastAsia" w:hAnsi="宋体" w:cs="宋体"/>
                <w:b/>
                <w:color w:val="000000" w:themeColor="text1"/>
                <w14:textFill>
                  <w14:solidFill>
                    <w14:schemeClr w14:val="tx1"/>
                  </w14:solidFill>
                </w14:textFill>
              </w:rPr>
              <w:t>糖代谢</w:t>
            </w:r>
            <w:r>
              <w:rPr>
                <w:rFonts w:hint="eastAsia" w:hAnsi="宋体" w:cs="宋体"/>
                <w:color w:val="000000" w:themeColor="text1"/>
                <w14:textFill>
                  <w14:solidFill>
                    <w14:schemeClr w14:val="tx1"/>
                  </w14:solidFill>
                </w14:textFill>
              </w:rPr>
              <w:t xml:space="preserve"> 糖的功能、分类及重要结构特点；糖原分解过程及能量计算、单糖分解的重要途径（EMP、TCA、PPP）以及各代谢途径中反应历程、重要产物、能量产生、生理意义和限速酶；糖的异生作用；糖原合成代谢。</w:t>
            </w:r>
          </w:p>
          <w:p w14:paraId="74DF4A8A">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8</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 脂及脂类代谢 </w:t>
            </w:r>
            <w:r>
              <w:rPr>
                <w:rFonts w:hint="eastAsia" w:hAnsi="宋体" w:cs="宋体"/>
                <w:color w:val="000000" w:themeColor="text1"/>
                <w14:textFill>
                  <w14:solidFill>
                    <w14:schemeClr w14:val="tx1"/>
                  </w14:solidFill>
                </w14:textFill>
              </w:rPr>
              <w:t>脂类的功能及分类；脂肪酸的结构特点及必需脂肪酸；脂肪酸β-氧化途径及过程、甘油氧化和酮体代谢；脂肪酸从头合成途径的主要特点(关键酶、能量变化、二碳单位供体、活化形式、合成过程等)。</w:t>
            </w:r>
          </w:p>
          <w:p w14:paraId="39858271">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9</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 氨基酸代谢 </w:t>
            </w:r>
            <w:r>
              <w:rPr>
                <w:rFonts w:hint="eastAsia" w:hAnsi="宋体" w:cs="宋体"/>
                <w:color w:val="000000" w:themeColor="text1"/>
                <w14:textFill>
                  <w14:solidFill>
                    <w14:schemeClr w14:val="tx1"/>
                  </w14:solidFill>
                </w14:textFill>
              </w:rPr>
              <w:t>必需氨基酸的概念、氨基酸分解代谢的一般规律（脱氨基、转氨基、联合脱氨基、脱羧基作用）、掌握氨基酸分解产物—氨的转运方式和α-酮酸的代谢、尿素合成过程</w:t>
            </w:r>
            <w:r>
              <w:rPr>
                <w:rFonts w:hint="eastAsia"/>
              </w:rPr>
              <w:t>(能量变化情况、特点</w:t>
            </w:r>
            <w:r>
              <w:rPr>
                <w:rFonts w:hint="eastAsia"/>
                <w:lang w:eastAsia="zh-CN"/>
              </w:rPr>
              <w:t>、</w:t>
            </w:r>
            <w:r>
              <w:rPr>
                <w:rFonts w:hint="eastAsia"/>
              </w:rPr>
              <w:t>反应进行部位、尿素中氮原子来源等)</w:t>
            </w:r>
            <w:r>
              <w:rPr>
                <w:rFonts w:hint="eastAsia" w:hAnsi="宋体" w:cs="宋体"/>
                <w:color w:val="000000" w:themeColor="text1"/>
                <w14:textFill>
                  <w14:solidFill>
                    <w14:schemeClr w14:val="tx1"/>
                  </w14:solidFill>
                </w14:textFill>
              </w:rPr>
              <w:t>；一碳单位的概念、种类及来源；氨基酸合成时碳骨架的来源。</w:t>
            </w:r>
          </w:p>
          <w:p w14:paraId="75BF8EDC">
            <w:pPr>
              <w:pStyle w:val="3"/>
              <w:spacing w:line="360" w:lineRule="auto"/>
              <w:jc w:val="left"/>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0.</w:t>
            </w:r>
            <w:r>
              <w:rPr>
                <w:rFonts w:hint="eastAsia" w:hAnsi="宋体" w:cs="宋体"/>
                <w:b/>
                <w:color w:val="000000" w:themeColor="text1"/>
                <w14:textFill>
                  <w14:solidFill>
                    <w14:schemeClr w14:val="tx1"/>
                  </w14:solidFill>
                </w14:textFill>
              </w:rPr>
              <w:t xml:space="preserve"> 核苷酸代谢 </w:t>
            </w:r>
            <w:r>
              <w:rPr>
                <w:rFonts w:hint="eastAsia"/>
              </w:rPr>
              <w:t>嘌呤分解代谢、痛风的机制及治疗药物；核苷酸的从头合成途径（嘌呤和嘧啶环的原子来源）；脱氧核糖核苷酸的生成方式(在N</w:t>
            </w:r>
            <w:r>
              <w:t>DP</w:t>
            </w:r>
            <w:r>
              <w:rPr>
                <w:rFonts w:hint="eastAsia"/>
              </w:rPr>
              <w:t>水平上生成、dTTP的生成方式)。核苷酸补救合成途径；抗代谢物；抗肿瘤和抗病毒药物的生化机制。</w:t>
            </w:r>
          </w:p>
          <w:p w14:paraId="7DEA8A34">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1.</w:t>
            </w:r>
            <w:r>
              <w:rPr>
                <w:rFonts w:hint="eastAsia" w:hAnsi="宋体" w:cs="宋体"/>
                <w:b/>
                <w:color w:val="000000" w:themeColor="text1"/>
                <w14:textFill>
                  <w14:solidFill>
                    <w14:schemeClr w14:val="tx1"/>
                  </w14:solidFill>
                </w14:textFill>
              </w:rPr>
              <w:t xml:space="preserve"> DNA复制及转录 </w:t>
            </w:r>
            <w:r>
              <w:rPr>
                <w:rFonts w:hint="eastAsia" w:hAnsi="宋体" w:cs="宋体"/>
                <w:color w:val="000000" w:themeColor="text1"/>
                <w14:textFill>
                  <w14:solidFill>
                    <w14:schemeClr w14:val="tx1"/>
                  </w14:solidFill>
                </w14:textFill>
              </w:rPr>
              <w:t>DNA半保留复制、DNA复制过程(前导链与滞后链的合成异同点及所需要的酶)、转录与复制的异同点、转录过程、反转录概念、RNA剪接及加工的主要过程。</w:t>
            </w:r>
          </w:p>
          <w:p w14:paraId="662DC02D">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2.</w:t>
            </w:r>
            <w:r>
              <w:rPr>
                <w:rFonts w:hint="eastAsia" w:hAnsi="宋体" w:cs="宋体"/>
                <w:b/>
                <w:color w:val="000000" w:themeColor="text1"/>
                <w14:textFill>
                  <w14:solidFill>
                    <w14:schemeClr w14:val="tx1"/>
                  </w14:solidFill>
                </w14:textFill>
              </w:rPr>
              <w:t xml:space="preserve"> 蛋白质的生物合成</w:t>
            </w:r>
            <w:r>
              <w:rPr>
                <w:rFonts w:hint="eastAsia" w:hAnsi="宋体" w:cs="宋体"/>
                <w:color w:val="000000" w:themeColor="text1"/>
                <w14:textFill>
                  <w14:solidFill>
                    <w14:schemeClr w14:val="tx1"/>
                  </w14:solidFill>
                </w14:textFill>
              </w:rPr>
              <w:t xml:space="preserve"> 掌握中心法则遗传信息传递规律，掌握密码子的概念及特点、起始、终止密码子的种类和作用、蛋白质生物合成的过程及耗能过程（氨基酸活化、起始、延长、终止和释放、能量变化），了解蛋白质翻译后加工常见形式。</w:t>
            </w:r>
          </w:p>
          <w:p w14:paraId="3E89765D">
            <w:pPr>
              <w:spacing w:line="360" w:lineRule="auto"/>
              <w:rPr>
                <w:rFonts w:ascii="宋体" w:hAnsi="宋体" w:cs="Courier New"/>
                <w:b/>
                <w:szCs w:val="21"/>
              </w:rPr>
            </w:pPr>
            <w:r>
              <w:rPr>
                <w:rFonts w:hint="eastAsia" w:ascii="宋体" w:hAnsi="宋体" w:cs="Courier New"/>
                <w:b/>
                <w:szCs w:val="21"/>
              </w:rPr>
              <w:t>四、参考书目</w:t>
            </w:r>
          </w:p>
          <w:p w14:paraId="1A404C76">
            <w:pPr>
              <w:pStyle w:val="3"/>
              <w:spacing w:line="360" w:lineRule="auto"/>
              <w:jc w:val="left"/>
              <w:rPr>
                <w:rFonts w:hAnsi="宋体" w:cs="宋体"/>
                <w:color w:val="000000" w:themeColor="text1"/>
                <w14:textFill>
                  <w14:solidFill>
                    <w14:schemeClr w14:val="tx1"/>
                  </w14:solidFill>
                </w14:textFill>
              </w:rPr>
            </w:pPr>
            <w:r>
              <w:rPr>
                <w:rFonts w:hint="eastAsia" w:ascii="仿宋_GB2312" w:hAnsi="宋体" w:eastAsia="仿宋_GB2312" w:cs="Tahoma"/>
                <w:kern w:val="0"/>
              </w:rPr>
              <w:t>1</w:t>
            </w:r>
            <w:r>
              <w:rPr>
                <w:rFonts w:ascii="仿宋_GB2312" w:hAnsi="宋体" w:eastAsia="仿宋_GB2312" w:cs="Tahoma"/>
                <w:kern w:val="0"/>
              </w:rPr>
              <w:t>.</w:t>
            </w:r>
            <w:r>
              <w:rPr>
                <w:rFonts w:hint="eastAsia" w:hAnsi="宋体" w:cs="宋体"/>
                <w:color w:val="000000" w:themeColor="text1"/>
                <w14:textFill>
                  <w14:solidFill>
                    <w14:schemeClr w14:val="tx1"/>
                  </w14:solidFill>
                </w14:textFill>
              </w:rPr>
              <w:t>《生物化学简明教程》第</w:t>
            </w:r>
            <w:r>
              <w:rPr>
                <w:rFonts w:hAnsi="宋体" w:cs="宋体"/>
                <w:color w:val="000000" w:themeColor="text1"/>
                <w14:textFill>
                  <w14:solidFill>
                    <w14:schemeClr w14:val="tx1"/>
                  </w14:solidFill>
                </w14:textFill>
              </w:rPr>
              <w:t>6版</w:t>
            </w:r>
            <w:r>
              <w:rPr>
                <w:rFonts w:hint="eastAsia" w:hAnsi="宋体" w:cs="宋体"/>
                <w:color w:val="000000" w:themeColor="text1"/>
                <w14:textFill>
                  <w14:solidFill>
                    <w14:schemeClr w14:val="tx1"/>
                  </w14:solidFill>
                </w14:textFill>
              </w:rPr>
              <w:t>，</w:t>
            </w:r>
            <w:r>
              <w:rPr>
                <w:rFonts w:hAnsi="宋体" w:cs="宋体"/>
                <w:color w:val="000000" w:themeColor="text1"/>
                <w14:textFill>
                  <w14:solidFill>
                    <w14:schemeClr w14:val="tx1"/>
                  </w14:solidFill>
                </w14:textFill>
              </w:rPr>
              <w:t>I</w:t>
            </w:r>
            <w:r>
              <w:rPr>
                <w:rFonts w:hint="eastAsia" w:hAnsi="宋体" w:cs="宋体"/>
                <w:color w:val="000000" w:themeColor="text1"/>
                <w14:textFill>
                  <w14:solidFill>
                    <w14:schemeClr w14:val="tx1"/>
                  </w14:solidFill>
                </w14:textFill>
              </w:rPr>
              <w:t>SBN：978-7-0</w:t>
            </w:r>
            <w:r>
              <w:rPr>
                <w:rFonts w:hAnsi="宋体" w:cs="宋体"/>
                <w:color w:val="000000" w:themeColor="text1"/>
                <w14:textFill>
                  <w14:solidFill>
                    <w14:schemeClr w14:val="tx1"/>
                  </w14:solidFill>
                </w14:textFill>
              </w:rPr>
              <w:t>4</w:t>
            </w:r>
            <w:r>
              <w:rPr>
                <w:rFonts w:hint="eastAsia" w:hAnsi="宋体" w:cs="宋体"/>
                <w:color w:val="000000" w:themeColor="text1"/>
                <w14:textFill>
                  <w14:solidFill>
                    <w14:schemeClr w14:val="tx1"/>
                  </w14:solidFill>
                </w14:textFill>
              </w:rPr>
              <w:t>- 0</w:t>
            </w:r>
            <w:r>
              <w:rPr>
                <w:rFonts w:hAnsi="宋体" w:cs="宋体"/>
                <w:color w:val="000000" w:themeColor="text1"/>
                <w14:textFill>
                  <w14:solidFill>
                    <w14:schemeClr w14:val="tx1"/>
                  </w14:solidFill>
                </w14:textFill>
              </w:rPr>
              <w:t>55078-8</w:t>
            </w:r>
            <w:r>
              <w:rPr>
                <w:rFonts w:hint="eastAsia" w:hAnsi="宋体" w:cs="宋体"/>
                <w:color w:val="000000" w:themeColor="text1"/>
                <w14:textFill>
                  <w14:solidFill>
                    <w14:schemeClr w14:val="tx1"/>
                  </w14:solidFill>
                </w14:textFill>
              </w:rPr>
              <w:t>，魏民，张丽萍，杨剑雄.</w:t>
            </w:r>
            <w:r>
              <w:rPr>
                <w:rFonts w:hAnsi="宋体" w:cs="宋体"/>
                <w:color w:val="000000" w:themeColor="text1"/>
                <w14:textFill>
                  <w14:solidFill>
                    <w14:schemeClr w14:val="tx1"/>
                  </w14:solidFill>
                </w14:textFill>
              </w:rPr>
              <w:t xml:space="preserve"> </w:t>
            </w:r>
            <w:r>
              <w:rPr>
                <w:rFonts w:hint="eastAsia" w:hAnsi="宋体" w:cs="宋体"/>
                <w:color w:val="000000" w:themeColor="text1"/>
                <w14:textFill>
                  <w14:solidFill>
                    <w14:schemeClr w14:val="tx1"/>
                  </w14:solidFill>
                </w14:textFill>
              </w:rPr>
              <w:t>高等教育出版社，出版时间：20</w:t>
            </w:r>
            <w:r>
              <w:rPr>
                <w:rFonts w:hAnsi="宋体" w:cs="宋体"/>
                <w:color w:val="000000" w:themeColor="text1"/>
                <w14:textFill>
                  <w14:solidFill>
                    <w14:schemeClr w14:val="tx1"/>
                  </w14:solidFill>
                </w14:textFill>
              </w:rPr>
              <w:t>20</w:t>
            </w:r>
            <w:r>
              <w:rPr>
                <w:rFonts w:hint="eastAsia" w:hAnsi="宋体" w:cs="宋体"/>
                <w:color w:val="000000" w:themeColor="text1"/>
                <w14:textFill>
                  <w14:solidFill>
                    <w14:schemeClr w14:val="tx1"/>
                  </w14:solidFill>
                </w14:textFill>
              </w:rPr>
              <w:t>年8月</w:t>
            </w:r>
          </w:p>
          <w:p w14:paraId="79BC1604">
            <w:pPr>
              <w:pStyle w:val="3"/>
              <w:spacing w:line="360" w:lineRule="auto"/>
              <w:jc w:val="left"/>
              <w:rPr>
                <w:rFonts w:hAnsi="宋体" w:cs="宋体"/>
                <w:color w:val="000000" w:themeColor="text1"/>
                <w14:textFill>
                  <w14:solidFill>
                    <w14:schemeClr w14:val="tx1"/>
                  </w14:solidFill>
                </w14:textFill>
              </w:rPr>
            </w:pPr>
            <w:r>
              <w:rPr>
                <w:rFonts w:hAnsi="宋体" w:cs="宋体"/>
                <w:color w:val="000000" w:themeColor="text1"/>
                <w14:textFill>
                  <w14:solidFill>
                    <w14:schemeClr w14:val="tx1"/>
                  </w14:solidFill>
                </w14:textFill>
              </w:rPr>
              <w:t>2.</w:t>
            </w:r>
            <w:r>
              <w:rPr>
                <w:rFonts w:hint="eastAsia" w:hAnsi="宋体" w:cs="宋体"/>
                <w:color w:val="000000" w:themeColor="text1"/>
                <w14:textFill>
                  <w14:solidFill>
                    <w14:schemeClr w14:val="tx1"/>
                  </w14:solidFill>
                </w14:textFill>
              </w:rPr>
              <w:t>《生物化学》第</w:t>
            </w:r>
            <w:r>
              <w:rPr>
                <w:rFonts w:hAnsi="宋体" w:cs="宋体"/>
                <w:color w:val="000000" w:themeColor="text1"/>
                <w14:textFill>
                  <w14:solidFill>
                    <w14:schemeClr w14:val="tx1"/>
                  </w14:solidFill>
                </w14:textFill>
              </w:rPr>
              <w:t>6</w:t>
            </w:r>
            <w:r>
              <w:rPr>
                <w:rFonts w:hint="eastAsia" w:hAnsi="宋体" w:cs="宋体"/>
                <w:color w:val="000000" w:themeColor="text1"/>
                <w14:textFill>
                  <w14:solidFill>
                    <w14:schemeClr w14:val="tx1"/>
                  </w14:solidFill>
                </w14:textFill>
              </w:rPr>
              <w:t>版，ISBN：7-</w:t>
            </w:r>
            <w:r>
              <w:rPr>
                <w:rFonts w:hAnsi="宋体" w:cs="宋体"/>
                <w:color w:val="000000" w:themeColor="text1"/>
                <w14:textFill>
                  <w14:solidFill>
                    <w14:schemeClr w14:val="tx1"/>
                  </w14:solidFill>
                </w14:textFill>
              </w:rPr>
              <w:t>11</w:t>
            </w:r>
            <w:r>
              <w:rPr>
                <w:rFonts w:hint="eastAsia" w:hAnsi="宋体" w:cs="宋体"/>
                <w:color w:val="000000" w:themeColor="text1"/>
                <w14:textFill>
                  <w14:solidFill>
                    <w14:schemeClr w14:val="tx1"/>
                  </w14:solidFill>
                </w14:textFill>
              </w:rPr>
              <w:t>7-</w:t>
            </w:r>
            <w:r>
              <w:rPr>
                <w:rFonts w:hAnsi="宋体" w:cs="宋体"/>
                <w:color w:val="000000" w:themeColor="text1"/>
                <w14:textFill>
                  <w14:solidFill>
                    <w14:schemeClr w14:val="tx1"/>
                  </w14:solidFill>
                </w14:textFill>
              </w:rPr>
              <w:t>05829</w:t>
            </w:r>
            <w:r>
              <w:rPr>
                <w:rFonts w:hint="eastAsia" w:hAnsi="宋体" w:cs="宋体"/>
                <w:color w:val="000000" w:themeColor="text1"/>
                <w14:textFill>
                  <w14:solidFill>
                    <w14:schemeClr w14:val="tx1"/>
                  </w14:solidFill>
                </w14:textFill>
              </w:rPr>
              <w:t>-</w:t>
            </w:r>
            <w:r>
              <w:rPr>
                <w:rFonts w:hAnsi="宋体" w:cs="宋体"/>
                <w:color w:val="000000" w:themeColor="text1"/>
                <w14:textFill>
                  <w14:solidFill>
                    <w14:schemeClr w14:val="tx1"/>
                  </w14:solidFill>
                </w14:textFill>
              </w:rPr>
              <w:t>3</w:t>
            </w:r>
            <w:r>
              <w:rPr>
                <w:rFonts w:hint="eastAsia" w:hAnsi="宋体" w:cs="宋体"/>
                <w:color w:val="000000" w:themeColor="text1"/>
                <w14:textFill>
                  <w14:solidFill>
                    <w14:schemeClr w14:val="tx1"/>
                  </w14:solidFill>
                </w14:textFill>
              </w:rPr>
              <w:t>，周爱儒.人民卫生出版社，出版时间：20</w:t>
            </w:r>
            <w:r>
              <w:rPr>
                <w:rFonts w:hAnsi="宋体" w:cs="宋体"/>
                <w:color w:val="000000" w:themeColor="text1"/>
                <w14:textFill>
                  <w14:solidFill>
                    <w14:schemeClr w14:val="tx1"/>
                  </w14:solidFill>
                </w14:textFill>
              </w:rPr>
              <w:t>04</w:t>
            </w:r>
            <w:r>
              <w:rPr>
                <w:rFonts w:hint="eastAsia" w:hAnsi="宋体" w:cs="宋体"/>
                <w:color w:val="000000" w:themeColor="text1"/>
                <w14:textFill>
                  <w14:solidFill>
                    <w14:schemeClr w14:val="tx1"/>
                  </w14:solidFill>
                </w14:textFill>
              </w:rPr>
              <w:t>年</w:t>
            </w:r>
            <w:r>
              <w:rPr>
                <w:rFonts w:hAnsi="宋体" w:cs="宋体"/>
                <w:color w:val="000000" w:themeColor="text1"/>
                <w14:textFill>
                  <w14:solidFill>
                    <w14:schemeClr w14:val="tx1"/>
                  </w14:solidFill>
                </w14:textFill>
              </w:rPr>
              <w:t>5月</w:t>
            </w:r>
            <w:r>
              <w:rPr>
                <w:rFonts w:hint="eastAsia" w:hAnsi="宋体" w:cs="宋体"/>
                <w:color w:val="000000" w:themeColor="text1"/>
                <w14:textFill>
                  <w14:solidFill>
                    <w14:schemeClr w14:val="tx1"/>
                  </w14:solidFill>
                </w14:textFill>
              </w:rPr>
              <w:t xml:space="preserve"> </w:t>
            </w:r>
          </w:p>
          <w:p w14:paraId="3C85B8E1">
            <w:pPr>
              <w:pStyle w:val="3"/>
              <w:spacing w:line="360" w:lineRule="auto"/>
              <w:jc w:val="left"/>
              <w:rPr>
                <w:sz w:val="24"/>
              </w:rPr>
            </w:pPr>
            <w:r>
              <w:rPr>
                <w:rFonts w:hint="eastAsia" w:hAnsi="宋体" w:cs="宋体"/>
                <w:color w:val="000000" w:themeColor="text1"/>
                <w14:textFill>
                  <w14:solidFill>
                    <w14:schemeClr w14:val="tx1"/>
                  </w14:solidFill>
                </w14:textFill>
              </w:rPr>
              <w:t>3</w:t>
            </w:r>
            <w:r>
              <w:rPr>
                <w:rFonts w:hAnsi="宋体" w:cs="宋体"/>
                <w:color w:val="000000" w:themeColor="text1"/>
                <w14:textFill>
                  <w14:solidFill>
                    <w14:schemeClr w14:val="tx1"/>
                  </w14:solidFill>
                </w14:textFill>
              </w:rPr>
              <w:t>.</w:t>
            </w:r>
            <w:r>
              <w:rPr>
                <w:rFonts w:hint="eastAsia" w:hAnsi="宋体" w:cs="宋体"/>
                <w:color w:val="000000" w:themeColor="text1"/>
                <w14:textFill>
                  <w14:solidFill>
                    <w14:schemeClr w14:val="tx1"/>
                  </w14:solidFill>
                </w14:textFill>
              </w:rPr>
              <w:t>《生物化学》，第3版，ISBN：7-04- 0</w:t>
            </w:r>
            <w:r>
              <w:rPr>
                <w:rFonts w:hAnsi="宋体" w:cs="宋体"/>
                <w:color w:val="000000" w:themeColor="text1"/>
                <w14:textFill>
                  <w14:solidFill>
                    <w14:schemeClr w14:val="tx1"/>
                  </w14:solidFill>
                </w14:textFill>
              </w:rPr>
              <w:t>11088</w:t>
            </w:r>
            <w:r>
              <w:rPr>
                <w:rFonts w:hint="eastAsia" w:hAnsi="宋体" w:cs="宋体"/>
                <w:color w:val="000000" w:themeColor="text1"/>
                <w14:textFill>
                  <w14:solidFill>
                    <w14:schemeClr w14:val="tx1"/>
                  </w14:solidFill>
                </w14:textFill>
              </w:rPr>
              <w:t>-</w:t>
            </w:r>
            <w:r>
              <w:rPr>
                <w:rFonts w:hAnsi="宋体" w:cs="宋体"/>
                <w:color w:val="000000" w:themeColor="text1"/>
                <w14:textFill>
                  <w14:solidFill>
                    <w14:schemeClr w14:val="tx1"/>
                  </w14:solidFill>
                </w14:textFill>
              </w:rPr>
              <w:t>1</w:t>
            </w:r>
            <w:r>
              <w:rPr>
                <w:rFonts w:hint="eastAsia" w:hAnsi="宋体" w:cs="宋体"/>
                <w:color w:val="000000" w:themeColor="text1"/>
                <w14:textFill>
                  <w14:solidFill>
                    <w14:schemeClr w14:val="tx1"/>
                  </w14:solidFill>
                </w14:textFill>
              </w:rPr>
              <w:t>，王镜岩，朱圣庚，徐长法. 高等教育出版社，出版时间：20</w:t>
            </w:r>
            <w:r>
              <w:rPr>
                <w:rFonts w:hAnsi="宋体" w:cs="宋体"/>
                <w:color w:val="000000" w:themeColor="text1"/>
                <w14:textFill>
                  <w14:solidFill>
                    <w14:schemeClr w14:val="tx1"/>
                  </w14:solidFill>
                </w14:textFill>
              </w:rPr>
              <w:t>02</w:t>
            </w:r>
            <w:r>
              <w:rPr>
                <w:rFonts w:hint="eastAsia" w:hAnsi="宋体" w:cs="宋体"/>
                <w:color w:val="000000" w:themeColor="text1"/>
                <w14:textFill>
                  <w14:solidFill>
                    <w14:schemeClr w14:val="tx1"/>
                  </w14:solidFill>
                </w14:textFill>
              </w:rPr>
              <w:t>年</w:t>
            </w:r>
            <w:r>
              <w:rPr>
                <w:rFonts w:hAnsi="宋体" w:cs="宋体"/>
                <w:color w:val="000000" w:themeColor="text1"/>
                <w14:textFill>
                  <w14:solidFill>
                    <w14:schemeClr w14:val="tx1"/>
                  </w14:solidFill>
                </w14:textFill>
              </w:rPr>
              <w:t>9月</w:t>
            </w:r>
            <w:r>
              <w:rPr>
                <w:rFonts w:hint="eastAsia" w:hAnsi="宋体" w:cs="宋体"/>
                <w:color w:val="000000" w:themeColor="text1"/>
                <w14:textFill>
                  <w14:solidFill>
                    <w14:schemeClr w14:val="tx1"/>
                  </w14:solidFill>
                </w14:textFill>
              </w:rPr>
              <w:t xml:space="preserve"> </w:t>
            </w:r>
          </w:p>
        </w:tc>
      </w:tr>
    </w:tbl>
    <w:p w14:paraId="3692928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zYTFjNjM3NDQzZjYzYTIzMzlmNTQwMGQ4YmFmY2QifQ=="/>
  </w:docVars>
  <w:rsids>
    <w:rsidRoot w:val="00E37256"/>
    <w:rsid w:val="000011E4"/>
    <w:rsid w:val="0007016D"/>
    <w:rsid w:val="00086393"/>
    <w:rsid w:val="000947E7"/>
    <w:rsid w:val="000F6E00"/>
    <w:rsid w:val="001219C6"/>
    <w:rsid w:val="0014221F"/>
    <w:rsid w:val="00191A27"/>
    <w:rsid w:val="002102F8"/>
    <w:rsid w:val="002A4272"/>
    <w:rsid w:val="002D3BA3"/>
    <w:rsid w:val="002E73C7"/>
    <w:rsid w:val="002F3508"/>
    <w:rsid w:val="00306993"/>
    <w:rsid w:val="003503CD"/>
    <w:rsid w:val="003F4242"/>
    <w:rsid w:val="00472891"/>
    <w:rsid w:val="0056009C"/>
    <w:rsid w:val="00580E69"/>
    <w:rsid w:val="005C3CBC"/>
    <w:rsid w:val="00605501"/>
    <w:rsid w:val="006E72BC"/>
    <w:rsid w:val="007B4F69"/>
    <w:rsid w:val="00807D50"/>
    <w:rsid w:val="00827830"/>
    <w:rsid w:val="00837530"/>
    <w:rsid w:val="00865A38"/>
    <w:rsid w:val="00892ACF"/>
    <w:rsid w:val="009333EE"/>
    <w:rsid w:val="009C1703"/>
    <w:rsid w:val="009C4435"/>
    <w:rsid w:val="009C6C68"/>
    <w:rsid w:val="00A71BA0"/>
    <w:rsid w:val="00AA1FE3"/>
    <w:rsid w:val="00AE3170"/>
    <w:rsid w:val="00B23541"/>
    <w:rsid w:val="00B426FC"/>
    <w:rsid w:val="00C23D81"/>
    <w:rsid w:val="00C74B67"/>
    <w:rsid w:val="00D263FB"/>
    <w:rsid w:val="00D63145"/>
    <w:rsid w:val="00D83C1D"/>
    <w:rsid w:val="00E11973"/>
    <w:rsid w:val="00E37256"/>
    <w:rsid w:val="00EB329C"/>
    <w:rsid w:val="00F15C6F"/>
    <w:rsid w:val="00F447B9"/>
    <w:rsid w:val="00FA33CF"/>
    <w:rsid w:val="00FE2AC5"/>
    <w:rsid w:val="078F4911"/>
    <w:rsid w:val="11D2622C"/>
    <w:rsid w:val="162E2E7B"/>
    <w:rsid w:val="177E6F3D"/>
    <w:rsid w:val="1F082CEF"/>
    <w:rsid w:val="205B3D5F"/>
    <w:rsid w:val="2112755F"/>
    <w:rsid w:val="3C7A07FE"/>
    <w:rsid w:val="3D2358F5"/>
    <w:rsid w:val="3DB36AA0"/>
    <w:rsid w:val="3DD86673"/>
    <w:rsid w:val="4A3A01CC"/>
    <w:rsid w:val="4D103376"/>
    <w:rsid w:val="548D5A5F"/>
    <w:rsid w:val="56CF1CE8"/>
    <w:rsid w:val="5E8B06D7"/>
    <w:rsid w:val="70D53A51"/>
    <w:rsid w:val="724060B5"/>
    <w:rsid w:val="7F7D7E39"/>
    <w:rsid w:val="7FA75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ind w:firstLine="420" w:firstLineChars="200"/>
    </w:pPr>
  </w:style>
  <w:style w:type="paragraph" w:styleId="3">
    <w:name w:val="Plain Text"/>
    <w:basedOn w:val="1"/>
    <w:link w:val="10"/>
    <w:qFormat/>
    <w:uiPriority w:val="0"/>
    <w:rPr>
      <w:rFonts w:ascii="宋体" w:hAnsi="Courier New" w:cs="Courier New"/>
      <w:szCs w:val="21"/>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rFonts w:ascii="Times New Roman" w:hAnsi="Times New Roman" w:eastAsia="宋体" w:cs="Times New Roman"/>
      <w:sz w:val="18"/>
      <w:szCs w:val="18"/>
    </w:rPr>
  </w:style>
  <w:style w:type="character" w:customStyle="1" w:styleId="9">
    <w:name w:val="页脚 Char"/>
    <w:basedOn w:val="7"/>
    <w:link w:val="4"/>
    <w:qFormat/>
    <w:uiPriority w:val="99"/>
    <w:rPr>
      <w:rFonts w:ascii="Times New Roman" w:hAnsi="Times New Roman" w:eastAsia="宋体" w:cs="Times New Roman"/>
      <w:sz w:val="18"/>
      <w:szCs w:val="18"/>
    </w:rPr>
  </w:style>
  <w:style w:type="character" w:customStyle="1" w:styleId="10">
    <w:name w:val="纯文本 Char"/>
    <w:basedOn w:val="7"/>
    <w:link w:val="3"/>
    <w:qFormat/>
    <w:uiPriority w:val="0"/>
    <w:rPr>
      <w:rFonts w:ascii="宋体" w:hAnsi="Courier New" w:eastAsia="宋体" w:cs="Courier New"/>
      <w:szCs w:val="21"/>
    </w:rPr>
  </w:style>
  <w:style w:type="character" w:customStyle="1" w:styleId="11">
    <w:name w:val="正文文本缩进 Char"/>
    <w:basedOn w:val="7"/>
    <w:link w:val="2"/>
    <w:qFormat/>
    <w:uiPriority w:val="0"/>
    <w:rPr>
      <w:rFonts w:ascii="Times New Roman" w:hAnsi="Times New Roman" w:eastAsia="宋体" w:cs="Times New Roman"/>
      <w:szCs w:val="24"/>
    </w:rPr>
  </w:style>
  <w:style w:type="paragraph" w:customStyle="1" w:styleId="12">
    <w:name w:val="Char Char Char Char Char Char1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3">
    <w:name w:val="列出段落1"/>
    <w:basedOn w:val="1"/>
    <w:qFormat/>
    <w:uiPriority w:val="34"/>
    <w:pPr>
      <w:ind w:firstLine="420" w:firstLineChars="200"/>
    </w:p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sdut</Company>
  <Pages>2</Pages>
  <Words>1752</Words>
  <Characters>1872</Characters>
  <Lines>42</Lines>
  <Paragraphs>12</Paragraphs>
  <TotalTime>19</TotalTime>
  <ScaleCrop>false</ScaleCrop>
  <LinksUpToDate>false</LinksUpToDate>
  <CharactersWithSpaces>1909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2021-07-13T01:53:00Z</dcterms:created>
  <dc:creator>Administrator</dc:creator>
  <cp:lastModifiedBy>卢明锋</cp:lastModifiedBy>
  <dcterms:modified xsi:type="dcterms:W3CDTF">2025-06-23T07:59:47Z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7C765173DF944823810EFD292E0B23F9_13</vt:lpwstr>
  </property>
  <property fmtid="{D5CDD505-2E9C-101B-9397-08002B2CF9AE}" pid="4" name="KSOTemplateDocerSaveRecord">
    <vt:lpwstr>eyJoZGlkIjoiMmY5ZWIzYTljODgwOTM1MDRhMzE5MWUyYWFhYTFhNGIiLCJ1c2VySWQiOiIyNTA4NzExNDMifQ==</vt:lpwstr>
  </property>
</Properties>
</file>